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12" w:rsidRPr="007D7B12" w:rsidRDefault="007D7B12" w:rsidP="007D7B12">
      <w:pPr>
        <w:shd w:val="clear" w:color="auto" w:fill="B0B1B2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D7B1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Сведения об объекте учета геологической информации о недрах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Название объекта учета: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34343"/>
          <w:sz w:val="20"/>
          <w:szCs w:val="20"/>
          <w:lang w:eastAsia="ru-RU"/>
        </w:rPr>
      </w:pPr>
      <w:proofErr w:type="spellStart"/>
      <w:r w:rsidRPr="007D7B12">
        <w:rPr>
          <w:rFonts w:ascii="Times New Roman" w:eastAsia="Times New Roman" w:hAnsi="Times New Roman" w:cs="Times New Roman"/>
          <w:b/>
          <w:bCs/>
          <w:color w:val="434343"/>
          <w:sz w:val="20"/>
          <w:szCs w:val="20"/>
          <w:lang w:eastAsia="ru-RU"/>
        </w:rPr>
        <w:t>Ропручейский</w:t>
      </w:r>
      <w:proofErr w:type="spellEnd"/>
      <w:r w:rsidRPr="007D7B12">
        <w:rPr>
          <w:rFonts w:ascii="Times New Roman" w:eastAsia="Times New Roman" w:hAnsi="Times New Roman" w:cs="Times New Roman"/>
          <w:b/>
          <w:bCs/>
          <w:color w:val="434343"/>
          <w:sz w:val="20"/>
          <w:szCs w:val="20"/>
          <w:lang w:eastAsia="ru-RU"/>
        </w:rPr>
        <w:t>-</w:t>
      </w:r>
      <w:proofErr w:type="gramStart"/>
      <w:r w:rsidRPr="007D7B12">
        <w:rPr>
          <w:rFonts w:ascii="Times New Roman" w:eastAsia="Times New Roman" w:hAnsi="Times New Roman" w:cs="Times New Roman"/>
          <w:b/>
          <w:bCs/>
          <w:color w:val="434343"/>
          <w:sz w:val="20"/>
          <w:szCs w:val="20"/>
          <w:lang w:eastAsia="ru-RU"/>
        </w:rPr>
        <w:t>III</w:t>
      </w:r>
      <w:proofErr w:type="gramEnd"/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Реестровый номер: </w:t>
      </w:r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3119064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Вид объекта учета: </w:t>
      </w:r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Паспорт ГКМ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Инвентарный номер объекта учета в каталоге: </w:t>
      </w:r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Г-2-346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Дата представления геологической информации о недрах в фонды: </w:t>
      </w:r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19.01.1989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Условия предоставления: </w:t>
      </w:r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Предоставление в порядке, установленном Правительством РФ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Ключевые слова: </w:t>
      </w:r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 xml:space="preserve">Основные ПИ: </w:t>
      </w:r>
      <w:proofErr w:type="spellStart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габбродиабаз</w:t>
      </w:r>
      <w:proofErr w:type="spellEnd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 xml:space="preserve">; </w:t>
      </w:r>
      <w:proofErr w:type="gramStart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Карельский</w:t>
      </w:r>
      <w:proofErr w:type="gramEnd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 xml:space="preserve"> ТГФ; Данные о районе объекта: В 1-1.5 км к северу от </w:t>
      </w:r>
      <w:proofErr w:type="spellStart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п</w:t>
      </w:r>
      <w:proofErr w:type="gramStart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.Р</w:t>
      </w:r>
      <w:proofErr w:type="gramEnd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ыбрека</w:t>
      </w:r>
      <w:proofErr w:type="spellEnd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, в 800-1000 м к востоку от участка проходит дорога Петрозаводск-Вознесение.;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Участок недр: </w:t>
      </w:r>
      <w:proofErr w:type="spellStart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Ропручейский</w:t>
      </w:r>
      <w:proofErr w:type="spellEnd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-</w:t>
      </w:r>
      <w:proofErr w:type="gramStart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III</w:t>
      </w:r>
      <w:proofErr w:type="gramEnd"/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Тип геологической информации о недрах: </w:t>
      </w:r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Интерпретированная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Вид носителя геологической информации о недрах: </w:t>
      </w:r>
      <w:proofErr w:type="gramStart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Бумажный</w:t>
      </w:r>
      <w:proofErr w:type="gramEnd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, Электронная версия бумажного документа</w:t>
      </w:r>
    </w:p>
    <w:p w:rsidR="007D7B12" w:rsidRPr="007D7B12" w:rsidRDefault="007D7B12" w:rsidP="007D7B12">
      <w:pPr>
        <w:shd w:val="clear" w:color="auto" w:fill="B0B1B2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D7B1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Сведения о пространственной привязке геологической информации о недрах</w:t>
      </w:r>
    </w:p>
    <w:p w:rsidR="007D7B12" w:rsidRPr="007D7B12" w:rsidRDefault="007D7B12" w:rsidP="007D7B12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7D7B12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Привязка к административно - территориальному делению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Название:</w:t>
      </w:r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 xml:space="preserve"> Республика Карелия, </w:t>
      </w:r>
      <w:proofErr w:type="spellStart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Прионежский</w:t>
      </w:r>
      <w:proofErr w:type="spellEnd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;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Местоположение: </w:t>
      </w:r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 xml:space="preserve">В 1-1.5 км к северу от </w:t>
      </w:r>
      <w:proofErr w:type="spellStart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п</w:t>
      </w:r>
      <w:proofErr w:type="gramStart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.Р</w:t>
      </w:r>
      <w:proofErr w:type="gramEnd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ыбрека</w:t>
      </w:r>
      <w:proofErr w:type="spellEnd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, в 800-1000 м к востоку от участка проходит дорога Петрозаводск-Вознесение.</w:t>
      </w:r>
    </w:p>
    <w:p w:rsidR="007D7B12" w:rsidRPr="007D7B12" w:rsidRDefault="007D7B12" w:rsidP="007D7B12">
      <w:pPr>
        <w:shd w:val="clear" w:color="auto" w:fill="F9F9F9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7D7B12"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  <w:t>Привязка к номенклатуре листа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</w:pPr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P-36-XXX</w:t>
      </w:r>
    </w:p>
    <w:p w:rsidR="007D7B12" w:rsidRPr="007D7B12" w:rsidRDefault="007D7B12" w:rsidP="007D7B12">
      <w:pPr>
        <w:shd w:val="clear" w:color="auto" w:fill="B0B1B2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D7B1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Дополнительные атрибуты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Массив ГКМ (группа ПИ)</w:t>
      </w:r>
      <w:proofErr w:type="gramStart"/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:</w:t>
      </w:r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Г</w:t>
      </w:r>
      <w:proofErr w:type="gramEnd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 xml:space="preserve"> (проявления ТПИ)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 xml:space="preserve">Статус паспорта </w:t>
      </w:r>
      <w:proofErr w:type="spellStart"/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ГКМ</w:t>
      </w:r>
      <w:proofErr w:type="gramStart"/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:</w:t>
      </w:r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з</w:t>
      </w:r>
      <w:proofErr w:type="gramEnd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аменённый</w:t>
      </w:r>
      <w:proofErr w:type="spellEnd"/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Номер паспорта РГФ: </w:t>
      </w:r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Нет данных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Номер паспорта ТГФ</w:t>
      </w:r>
      <w:proofErr w:type="gramStart"/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:</w:t>
      </w:r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Г</w:t>
      </w:r>
      <w:proofErr w:type="gramEnd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-2-346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 xml:space="preserve">Основные </w:t>
      </w:r>
      <w:proofErr w:type="spellStart"/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ПИ</w:t>
      </w:r>
      <w:proofErr w:type="gramStart"/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:</w:t>
      </w:r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г</w:t>
      </w:r>
      <w:proofErr w:type="gramEnd"/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аббродиабаз</w:t>
      </w:r>
      <w:proofErr w:type="spellEnd"/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959595"/>
          <w:sz w:val="20"/>
          <w:szCs w:val="20"/>
          <w:lang w:eastAsia="ru-RU"/>
        </w:rPr>
        <w:t>Попутные ПИ: </w:t>
      </w:r>
      <w:r w:rsidRPr="007D7B12">
        <w:rPr>
          <w:rFonts w:ascii="MuseoSansCyrillic" w:eastAsia="Times New Roman" w:hAnsi="MuseoSansCyrillic" w:cs="Times New Roman"/>
          <w:color w:val="434343"/>
          <w:sz w:val="20"/>
          <w:szCs w:val="20"/>
          <w:lang w:eastAsia="ru-RU"/>
        </w:rPr>
        <w:t>Нет данных</w:t>
      </w:r>
    </w:p>
    <w:p w:rsidR="007D7B12" w:rsidRPr="007D7B12" w:rsidRDefault="007D7B12" w:rsidP="007D7B12">
      <w:pPr>
        <w:shd w:val="clear" w:color="auto" w:fill="B0B1B2"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7D7B12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Связанные объекты РГИ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6F91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056F91"/>
          <w:sz w:val="20"/>
          <w:szCs w:val="20"/>
          <w:lang w:eastAsia="ru-RU"/>
        </w:rPr>
        <w:t>Реестровый номер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6F91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056F91"/>
          <w:sz w:val="20"/>
          <w:szCs w:val="20"/>
          <w:lang w:eastAsia="ru-RU"/>
        </w:rPr>
        <w:t>Инвентарный номер объекта учета в каталоге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6F91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056F91"/>
          <w:sz w:val="20"/>
          <w:szCs w:val="20"/>
          <w:lang w:eastAsia="ru-RU"/>
        </w:rPr>
        <w:t>Вид объекта учета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6F91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056F91"/>
          <w:sz w:val="20"/>
          <w:szCs w:val="20"/>
          <w:lang w:eastAsia="ru-RU"/>
        </w:rPr>
        <w:t>Название объекта учета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  <w:hyperlink r:id="rId5" w:tgtFrame="_blank" w:tooltip="" w:history="1">
        <w:r w:rsidRPr="007D7B1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3119904 </w:t>
        </w:r>
      </w:hyperlink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Б-52119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Паспорт ГКМ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Южно-</w:t>
      </w:r>
      <w:proofErr w:type="spellStart"/>
      <w:r w:rsidRPr="007D7B12"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Каккаровское</w:t>
      </w:r>
      <w:proofErr w:type="spellEnd"/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  <w:hyperlink r:id="rId6" w:tgtFrame="_blank" w:tooltip="" w:history="1">
        <w:r w:rsidRPr="007D7B1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3119905 </w:t>
        </w:r>
      </w:hyperlink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Б-52119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Паспорт ГКМ</w:t>
      </w:r>
    </w:p>
    <w:p w:rsidR="007D7B12" w:rsidRPr="007D7B12" w:rsidRDefault="007D7B12" w:rsidP="007D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  <w:r w:rsidRPr="007D7B12"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Южно-</w:t>
      </w:r>
      <w:proofErr w:type="spellStart"/>
      <w:r w:rsidRPr="007D7B12"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Каккаровское</w:t>
      </w:r>
      <w:proofErr w:type="spellEnd"/>
    </w:p>
    <w:p w:rsidR="00534701" w:rsidRDefault="00534701">
      <w:bookmarkStart w:id="0" w:name="_GoBack"/>
      <w:bookmarkEnd w:id="0"/>
    </w:p>
    <w:sectPr w:rsidR="0053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Cyril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38"/>
    <w:rsid w:val="00534701"/>
    <w:rsid w:val="007D7B12"/>
    <w:rsid w:val="00A6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3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5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0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0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1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7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6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49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36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6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2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30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3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9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0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1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008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3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5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5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6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5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517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50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5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0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65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33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65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1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7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1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88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3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fgi.ru/object/3119905" TargetMode="External"/><Relationship Id="rId5" Type="http://schemas.openxmlformats.org/officeDocument/2006/relationships/hyperlink" Target="https://efgi.ru/object/31199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diakov.net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2020-12-10T16:13:00Z</dcterms:created>
  <dcterms:modified xsi:type="dcterms:W3CDTF">2020-12-10T16:13:00Z</dcterms:modified>
</cp:coreProperties>
</file>